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F88BD" w14:textId="00A956D9" w:rsidR="0092682D" w:rsidRPr="00322EEE" w:rsidRDefault="0092682D" w:rsidP="0092682D">
      <w:pPr>
        <w:tabs>
          <w:tab w:val="center" w:pos="4536"/>
          <w:tab w:val="right" w:pos="8280"/>
          <w:tab w:val="right" w:pos="9639"/>
        </w:tabs>
        <w:ind w:right="2"/>
        <w:rPr>
          <w:rFonts w:ascii="Arial" w:hAnsi="Arial" w:cs="Arial"/>
          <w:b/>
          <w:bCs/>
          <w:lang w:val="en-US"/>
        </w:rPr>
      </w:pPr>
      <w:r w:rsidRPr="00322EEE">
        <w:rPr>
          <w:rFonts w:ascii="Arial" w:hAnsi="Arial" w:cs="Arial"/>
          <w:b/>
          <w:bCs/>
        </w:rPr>
        <w:t>3GPP TSG RAN WG1 #104-e</w:t>
      </w:r>
      <w:r w:rsidRPr="00322EEE">
        <w:rPr>
          <w:rFonts w:ascii="Arial" w:hAnsi="Arial" w:cs="Arial"/>
          <w:b/>
          <w:bCs/>
        </w:rPr>
        <w:tab/>
      </w:r>
      <w:r w:rsidRPr="00322EEE">
        <w:rPr>
          <w:rFonts w:ascii="Arial" w:hAnsi="Arial" w:cs="Arial"/>
          <w:b/>
          <w:bCs/>
        </w:rPr>
        <w:tab/>
      </w:r>
      <w:r w:rsidRPr="00322EEE">
        <w:rPr>
          <w:rFonts w:ascii="Arial" w:hAnsi="Arial" w:cs="Arial"/>
          <w:b/>
          <w:bCs/>
        </w:rPr>
        <w:tab/>
        <w:t>R1-21</w:t>
      </w:r>
      <w:r w:rsidR="00322EEE" w:rsidRPr="00322EEE">
        <w:rPr>
          <w:rFonts w:ascii="Arial" w:hAnsi="Arial" w:cs="Arial"/>
          <w:b/>
          <w:bCs/>
          <w:lang w:val="en-US"/>
        </w:rPr>
        <w:t>01338</w:t>
      </w:r>
    </w:p>
    <w:p w14:paraId="01CD62AD" w14:textId="77777777" w:rsidR="0092682D" w:rsidRPr="0092682D" w:rsidRDefault="0092682D" w:rsidP="0092682D">
      <w:pPr>
        <w:tabs>
          <w:tab w:val="center" w:pos="4536"/>
          <w:tab w:val="right" w:pos="9072"/>
        </w:tabs>
        <w:rPr>
          <w:rFonts w:ascii="Arial" w:eastAsia="MS Mincho" w:hAnsi="Arial" w:cs="Arial"/>
          <w:b/>
          <w:bCs/>
          <w:lang w:eastAsia="ja-JP"/>
        </w:rPr>
      </w:pPr>
      <w:r w:rsidRPr="0092682D">
        <w:rPr>
          <w:rFonts w:ascii="Arial" w:eastAsia="MS Mincho" w:hAnsi="Arial" w:cs="Arial"/>
          <w:b/>
          <w:bCs/>
          <w:lang w:eastAsia="ja-JP"/>
        </w:rPr>
        <w:t>e-Meeting, January 25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xml:space="preserve"> – February 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173F363F"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677E21">
        <w:rPr>
          <w:rFonts w:ascii="Arial" w:hAnsi="Arial" w:cs="Arial"/>
          <w:b/>
          <w:lang w:val="en-US"/>
        </w:rPr>
        <w:t>5</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53AAAECB"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E3567C" w:rsidRPr="00E3567C">
        <w:rPr>
          <w:rFonts w:ascii="Arial" w:hAnsi="Arial" w:cs="Arial"/>
          <w:b/>
          <w:lang w:val="en-US"/>
        </w:rPr>
        <w:t>Discussion on physical layer aspects of small data transmission</w:t>
      </w:r>
    </w:p>
    <w:p w14:paraId="258C8BD2" w14:textId="64A1D9B3"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4E71F2" w:rsidRPr="004E71F2">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2FCA37A1" w:rsidR="0039135A" w:rsidRDefault="0039135A" w:rsidP="0025389B">
      <w:pPr>
        <w:spacing w:after="120"/>
        <w:rPr>
          <w:rFonts w:eastAsia="SimSun"/>
          <w:noProof/>
          <w:sz w:val="20"/>
          <w:szCs w:val="20"/>
          <w:lang w:val="en-US" w:eastAsia="en-US"/>
        </w:rPr>
      </w:pPr>
      <w:r>
        <w:rPr>
          <w:rFonts w:eastAsia="SimSun"/>
          <w:noProof/>
          <w:sz w:val="20"/>
          <w:szCs w:val="20"/>
          <w:lang w:val="en-US" w:eastAsia="en-US"/>
        </w:rPr>
        <w:t xml:space="preserve">NR small data enhancement WI was started in RAN2#112-e meeting, an LS [1] was sent to RAN1 to request RAN1’s inputs on the following questions. </w:t>
      </w:r>
    </w:p>
    <w:p w14:paraId="53002D72" w14:textId="77777777" w:rsidR="0039135A"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 xml:space="preserve">Configuration of the coreset and search space for monitoring the PDCCH addressed to the C-RNTI after successful completion of the RACH procedure during RA-SDT. </w:t>
      </w:r>
    </w:p>
    <w:p w14:paraId="1CDACB58" w14:textId="3C91CAA2" w:rsidR="00FE526D" w:rsidRPr="0039135A" w:rsidRDefault="0039135A" w:rsidP="00042EFB">
      <w:pPr>
        <w:numPr>
          <w:ilvl w:val="0"/>
          <w:numId w:val="9"/>
        </w:numPr>
        <w:spacing w:after="120"/>
        <w:rPr>
          <w:rFonts w:eastAsia="SimSun"/>
          <w:bCs/>
          <w:noProof/>
          <w:sz w:val="20"/>
          <w:szCs w:val="20"/>
          <w:lang w:val="en-GB" w:eastAsia="en-US"/>
        </w:rPr>
      </w:pPr>
      <w:r w:rsidRPr="0039135A">
        <w:rPr>
          <w:rFonts w:eastAsia="SimSun"/>
          <w:bCs/>
          <w:noProof/>
          <w:sz w:val="20"/>
          <w:szCs w:val="20"/>
          <w:lang w:val="en-GB" w:eastAsia="en-US"/>
        </w:rPr>
        <w:t>Configuration of association between the type 1 CG resource(s) for CG-SDT and SSB(s)</w:t>
      </w:r>
      <w:r w:rsidR="004072F8" w:rsidRPr="0039135A">
        <w:rPr>
          <w:rFonts w:eastAsia="SimSun"/>
          <w:noProof/>
          <w:sz w:val="20"/>
          <w:szCs w:val="20"/>
          <w:lang w:val="en-US" w:eastAsia="en-US"/>
        </w:rPr>
        <w:t>.</w:t>
      </w:r>
    </w:p>
    <w:p w14:paraId="560B9657" w14:textId="1F475EDF" w:rsidR="0039135A" w:rsidRDefault="0025389B" w:rsidP="0039135A">
      <w:pPr>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w:t>
      </w:r>
      <w:r w:rsidR="0039135A">
        <w:rPr>
          <w:rFonts w:eastAsia="MS Mincho"/>
          <w:sz w:val="20"/>
          <w:szCs w:val="20"/>
          <w:lang w:val="en-US" w:eastAsia="ja-JP"/>
        </w:rPr>
        <w:t>SDT impacts on the physical layer.</w:t>
      </w:r>
    </w:p>
    <w:p w14:paraId="57F74D79" w14:textId="100F5340" w:rsidR="002A3F84" w:rsidRPr="00BF3ED6" w:rsidRDefault="0033104D" w:rsidP="00BF3ED6">
      <w:pPr>
        <w:pStyle w:val="Heading1"/>
        <w:rPr>
          <w:bCs/>
        </w:rPr>
      </w:pPr>
      <w:r>
        <w:rPr>
          <w:rFonts w:cs="Arial"/>
          <w:bCs/>
          <w:lang w:val="en-US" w:eastAsia="zh-CN"/>
        </w:rPr>
        <w:t xml:space="preserve">Discussion </w:t>
      </w:r>
    </w:p>
    <w:p w14:paraId="648CD9EB" w14:textId="1A7546FD" w:rsidR="00A75FC5" w:rsidRDefault="00A75FC5" w:rsidP="000C074D">
      <w:pPr>
        <w:spacing w:before="120" w:after="120"/>
        <w:rPr>
          <w:color w:val="000000"/>
          <w:sz w:val="20"/>
          <w:szCs w:val="20"/>
          <w:lang w:val="en-US"/>
        </w:rPr>
      </w:pPr>
      <w:r>
        <w:rPr>
          <w:color w:val="000000"/>
          <w:sz w:val="20"/>
          <w:szCs w:val="20"/>
          <w:lang w:val="en-US"/>
        </w:rPr>
        <w:t>The RAN2 related agreements on SDT are showing below</w:t>
      </w:r>
      <w:r w:rsidR="009D7609">
        <w:rPr>
          <w:color w:val="000000"/>
          <w:sz w:val="20"/>
          <w:szCs w:val="20"/>
          <w:lang w:val="en-US"/>
        </w:rPr>
        <w:t>, i.e.  RA-SDT and CG-SDT.</w:t>
      </w:r>
    </w:p>
    <w:tbl>
      <w:tblPr>
        <w:tblStyle w:val="TableGrid"/>
        <w:tblW w:w="0" w:type="auto"/>
        <w:tblLook w:val="04A0" w:firstRow="1" w:lastRow="0" w:firstColumn="1" w:lastColumn="0" w:noHBand="0" w:noVBand="1"/>
      </w:tblPr>
      <w:tblGrid>
        <w:gridCol w:w="9629"/>
      </w:tblGrid>
      <w:tr w:rsidR="00A75FC5" w14:paraId="29A80E18" w14:textId="77777777" w:rsidTr="00CD4DE9">
        <w:tc>
          <w:tcPr>
            <w:tcW w:w="9855" w:type="dxa"/>
          </w:tcPr>
          <w:p w14:paraId="758E0431" w14:textId="77777777" w:rsidR="00A75FC5" w:rsidRPr="00A75FC5" w:rsidRDefault="00A75FC5" w:rsidP="00CD4DE9">
            <w:pPr>
              <w:pStyle w:val="a"/>
              <w:rPr>
                <w:rFonts w:ascii="Arial" w:hAnsi="Arial" w:cs="Arial"/>
                <w:sz w:val="18"/>
                <w:szCs w:val="18"/>
                <w:u w:val="single"/>
              </w:rPr>
            </w:pPr>
            <w:r w:rsidRPr="00A75FC5">
              <w:rPr>
                <w:rFonts w:ascii="Arial" w:hAnsi="Arial" w:cs="Arial"/>
                <w:sz w:val="18"/>
                <w:szCs w:val="18"/>
                <w:u w:val="single"/>
              </w:rPr>
              <w:t>Some relevant agreements:</w:t>
            </w:r>
          </w:p>
          <w:p w14:paraId="6443B500" w14:textId="77777777" w:rsidR="00A75FC5" w:rsidRPr="00A75FC5" w:rsidRDefault="00A75FC5" w:rsidP="00CD4DE9">
            <w:pPr>
              <w:pStyle w:val="a"/>
              <w:rPr>
                <w:rFonts w:ascii="Arial" w:hAnsi="Arial" w:cs="Arial"/>
                <w:sz w:val="18"/>
                <w:szCs w:val="18"/>
                <w:u w:val="single"/>
              </w:rPr>
            </w:pPr>
            <w:r w:rsidRPr="00A75FC5">
              <w:rPr>
                <w:rFonts w:ascii="Arial" w:hAnsi="Arial" w:cs="Arial"/>
                <w:sz w:val="18"/>
                <w:szCs w:val="18"/>
                <w:u w:val="single"/>
              </w:rPr>
              <w:t>For RA-SDT</w:t>
            </w:r>
          </w:p>
          <w:p w14:paraId="14839BBE" w14:textId="77777777" w:rsidR="00A75FC5" w:rsidRPr="00A75FC5" w:rsidRDefault="00A75FC5" w:rsidP="00CD4DE9">
            <w:pPr>
              <w:pStyle w:val="Doc-text2"/>
              <w:numPr>
                <w:ilvl w:val="0"/>
                <w:numId w:val="10"/>
              </w:numPr>
              <w:ind w:left="360"/>
              <w:rPr>
                <w:rFonts w:cs="Arial"/>
                <w:sz w:val="18"/>
                <w:szCs w:val="18"/>
                <w:u w:val="single"/>
              </w:rPr>
            </w:pPr>
            <w:r w:rsidRPr="00A75FC5">
              <w:rPr>
                <w:sz w:val="18"/>
                <w:szCs w:val="18"/>
              </w:rPr>
              <w:t xml:space="preserve">For RACH based solutions, upon successful completion of contention resolution, the UE shall monitor the C-RNTI. </w:t>
            </w:r>
          </w:p>
          <w:p w14:paraId="17FA7A3A" w14:textId="77777777" w:rsidR="00A75FC5" w:rsidRPr="00A75FC5" w:rsidRDefault="00A75FC5" w:rsidP="00CD4DE9">
            <w:pPr>
              <w:pStyle w:val="Doc-text2"/>
              <w:ind w:left="0" w:firstLine="0"/>
              <w:rPr>
                <w:rFonts w:cs="Arial"/>
                <w:sz w:val="18"/>
                <w:szCs w:val="18"/>
                <w:u w:val="single"/>
              </w:rPr>
            </w:pPr>
            <w:r w:rsidRPr="00A75FC5">
              <w:rPr>
                <w:rFonts w:cs="Arial"/>
                <w:sz w:val="18"/>
                <w:szCs w:val="18"/>
                <w:u w:val="single"/>
              </w:rPr>
              <w:t>For CG-SDT</w:t>
            </w:r>
          </w:p>
          <w:p w14:paraId="7F2FD15E" w14:textId="77777777" w:rsidR="00A75FC5" w:rsidRPr="00A75FC5" w:rsidRDefault="00A75FC5" w:rsidP="00CD4DE9">
            <w:pPr>
              <w:pStyle w:val="Doc-text2"/>
              <w:numPr>
                <w:ilvl w:val="0"/>
                <w:numId w:val="10"/>
              </w:numPr>
              <w:ind w:left="360"/>
              <w:rPr>
                <w:sz w:val="18"/>
                <w:szCs w:val="18"/>
              </w:rPr>
            </w:pPr>
            <w:r w:rsidRPr="00A75FC5">
              <w:rPr>
                <w:sz w:val="18"/>
                <w:szCs w:val="18"/>
              </w:rPr>
              <w:t xml:space="preserve">The configuration of configured grant resource for UE uplink small data transfer is contained in the </w:t>
            </w:r>
            <w:proofErr w:type="spellStart"/>
            <w:r w:rsidRPr="00A75FC5">
              <w:rPr>
                <w:sz w:val="18"/>
                <w:szCs w:val="18"/>
              </w:rPr>
              <w:t>RRCRelease</w:t>
            </w:r>
            <w:proofErr w:type="spellEnd"/>
            <w:r w:rsidRPr="00A75FC5">
              <w:rPr>
                <w:sz w:val="18"/>
                <w:szCs w:val="18"/>
              </w:rPr>
              <w:t xml:space="preserve"> message.  Configuration is only type 1 CG with no contention resolution procedure for CG. </w:t>
            </w:r>
          </w:p>
          <w:p w14:paraId="687FFC3B" w14:textId="77777777" w:rsidR="00A75FC5" w:rsidRPr="00A75FC5" w:rsidRDefault="00A75FC5" w:rsidP="00CD4DE9">
            <w:pPr>
              <w:pStyle w:val="Doc-text2"/>
              <w:numPr>
                <w:ilvl w:val="0"/>
                <w:numId w:val="10"/>
              </w:numPr>
              <w:ind w:left="360"/>
              <w:rPr>
                <w:sz w:val="18"/>
                <w:szCs w:val="18"/>
              </w:rPr>
            </w:pPr>
            <w:r w:rsidRPr="00A75FC5">
              <w:rPr>
                <w:sz w:val="18"/>
                <w:szCs w:val="18"/>
              </w:rPr>
              <w:t xml:space="preserve">The configuration of configured grant resource can include one type 1 CG configuration.  </w:t>
            </w:r>
          </w:p>
          <w:p w14:paraId="10FC51A8" w14:textId="77777777" w:rsidR="00A75FC5" w:rsidRPr="00A75FC5" w:rsidRDefault="00A75FC5" w:rsidP="00CD4DE9">
            <w:pPr>
              <w:pStyle w:val="Doc-text2"/>
              <w:numPr>
                <w:ilvl w:val="0"/>
                <w:numId w:val="10"/>
              </w:numPr>
              <w:ind w:left="360"/>
              <w:rPr>
                <w:sz w:val="18"/>
                <w:szCs w:val="18"/>
              </w:rPr>
            </w:pPr>
            <w:r w:rsidRPr="00A75FC5">
              <w:rPr>
                <w:sz w:val="18"/>
                <w:szCs w:val="18"/>
              </w:rPr>
              <w:t xml:space="preserve">The configuration of configured grant resource for UE small data transmission is valid only in the same serving cell.  </w:t>
            </w:r>
          </w:p>
          <w:p w14:paraId="3AD554ED" w14:textId="77777777" w:rsidR="00A75FC5" w:rsidRPr="00A75FC5" w:rsidRDefault="00A75FC5" w:rsidP="00CD4DE9">
            <w:pPr>
              <w:pStyle w:val="Doc-text2"/>
              <w:numPr>
                <w:ilvl w:val="0"/>
                <w:numId w:val="10"/>
              </w:numPr>
              <w:ind w:left="360"/>
              <w:rPr>
                <w:sz w:val="18"/>
                <w:szCs w:val="18"/>
              </w:rPr>
            </w:pPr>
            <w:r w:rsidRPr="00A75FC5">
              <w:rPr>
                <w:sz w:val="18"/>
                <w:szCs w:val="18"/>
              </w:rPr>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2527D919" w14:textId="77777777" w:rsidR="00A75FC5" w:rsidRPr="00A75FC5" w:rsidRDefault="00A75FC5" w:rsidP="00CD4DE9">
            <w:pPr>
              <w:pStyle w:val="Doc-text2"/>
              <w:numPr>
                <w:ilvl w:val="0"/>
                <w:numId w:val="10"/>
              </w:numPr>
              <w:ind w:left="360"/>
              <w:rPr>
                <w:sz w:val="18"/>
                <w:szCs w:val="18"/>
              </w:rPr>
            </w:pPr>
            <w:r w:rsidRPr="00A75FC5">
              <w:rPr>
                <w:sz w:val="18"/>
                <w:szCs w:val="18"/>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04C05520" w14:textId="77777777" w:rsidR="00A75FC5" w:rsidRPr="00A75FC5" w:rsidRDefault="00A75FC5" w:rsidP="00CD4DE9">
            <w:pPr>
              <w:pStyle w:val="Doc-text2"/>
              <w:numPr>
                <w:ilvl w:val="0"/>
                <w:numId w:val="10"/>
              </w:numPr>
              <w:ind w:left="360"/>
              <w:rPr>
                <w:sz w:val="18"/>
                <w:szCs w:val="18"/>
              </w:rPr>
            </w:pPr>
            <w:r w:rsidRPr="00A75FC5">
              <w:rPr>
                <w:sz w:val="18"/>
                <w:szCs w:val="18"/>
              </w:rPr>
              <w:t>A SS-RSRP threshold is configured for SSB selection. UE selects one of the SSB with SS-RSRP above the threshold and selects the associated CG resource for UL data transmission.</w:t>
            </w:r>
          </w:p>
          <w:p w14:paraId="618E5336" w14:textId="77777777" w:rsidR="00A75FC5" w:rsidRPr="00A75FC5" w:rsidRDefault="00A75FC5" w:rsidP="00CD4DE9">
            <w:pPr>
              <w:pStyle w:val="Doc-text2"/>
              <w:ind w:left="0" w:firstLine="0"/>
              <w:rPr>
                <w:sz w:val="18"/>
                <w:szCs w:val="18"/>
                <w:u w:val="single"/>
              </w:rPr>
            </w:pPr>
            <w:r w:rsidRPr="00A75FC5">
              <w:rPr>
                <w:sz w:val="18"/>
                <w:szCs w:val="18"/>
                <w:u w:val="single"/>
              </w:rPr>
              <w:t>For RA-SDT and CG-SDT</w:t>
            </w:r>
          </w:p>
          <w:p w14:paraId="2C1B2D5D" w14:textId="77777777" w:rsidR="00A75FC5" w:rsidRPr="00A75FC5" w:rsidRDefault="00A75FC5" w:rsidP="00CD4DE9">
            <w:pPr>
              <w:pStyle w:val="Doc-text2"/>
              <w:numPr>
                <w:ilvl w:val="0"/>
                <w:numId w:val="10"/>
              </w:numPr>
              <w:ind w:left="360"/>
              <w:rPr>
                <w:rFonts w:cs="Arial"/>
                <w:u w:val="single"/>
              </w:rPr>
            </w:pPr>
            <w:r w:rsidRPr="00A75FC5">
              <w:rPr>
                <w:sz w:val="18"/>
                <w:szCs w:val="18"/>
              </w:rPr>
              <w:t>When UE is in RRC_INACTIVE, it should be possible to send multiple UL and DL packets as part of the same SDT mechanism and without transitioning to RRC_CONNECTED on dedicated grant.</w:t>
            </w:r>
            <w:r>
              <w:t xml:space="preserve">  </w:t>
            </w:r>
          </w:p>
        </w:tc>
      </w:tr>
    </w:tbl>
    <w:p w14:paraId="132ACAD2" w14:textId="41CC0A0D" w:rsidR="003C1828" w:rsidRDefault="0039135A" w:rsidP="000C074D">
      <w:pPr>
        <w:spacing w:before="120" w:after="120"/>
        <w:rPr>
          <w:color w:val="000000"/>
          <w:sz w:val="20"/>
          <w:szCs w:val="20"/>
          <w:lang w:val="en-US"/>
        </w:rPr>
      </w:pPr>
      <w:r>
        <w:rPr>
          <w:color w:val="000000"/>
          <w:sz w:val="20"/>
          <w:szCs w:val="20"/>
          <w:lang w:val="en-US"/>
        </w:rPr>
        <w:t>For the RA-SDT,</w:t>
      </w:r>
      <w:r w:rsidR="00757727">
        <w:rPr>
          <w:color w:val="000000"/>
          <w:sz w:val="20"/>
          <w:szCs w:val="20"/>
          <w:lang w:val="en-US"/>
        </w:rPr>
        <w:t xml:space="preserve">  according to the </w:t>
      </w:r>
      <w:r w:rsidR="00702976">
        <w:rPr>
          <w:color w:val="000000"/>
          <w:sz w:val="20"/>
          <w:szCs w:val="20"/>
          <w:lang w:val="en-US"/>
        </w:rPr>
        <w:t>above</w:t>
      </w:r>
      <w:r w:rsidR="00757727">
        <w:rPr>
          <w:color w:val="000000"/>
          <w:sz w:val="20"/>
          <w:szCs w:val="20"/>
          <w:lang w:val="en-US"/>
        </w:rPr>
        <w:t xml:space="preserve"> agreements, after the RACH proce</w:t>
      </w:r>
      <w:r w:rsidR="00704D7E">
        <w:rPr>
          <w:color w:val="000000"/>
          <w:sz w:val="20"/>
          <w:szCs w:val="20"/>
          <w:lang w:val="en-US"/>
        </w:rPr>
        <w:t>dure,</w:t>
      </w:r>
      <w:r w:rsidR="00757727">
        <w:rPr>
          <w:color w:val="000000"/>
          <w:sz w:val="20"/>
          <w:szCs w:val="20"/>
          <w:lang w:val="en-US"/>
        </w:rPr>
        <w:t xml:space="preserve"> the UE will not </w:t>
      </w:r>
      <w:r w:rsidR="00704D7E">
        <w:rPr>
          <w:color w:val="000000"/>
          <w:sz w:val="20"/>
          <w:szCs w:val="20"/>
          <w:lang w:val="en-US"/>
        </w:rPr>
        <w:t xml:space="preserve">transit the state to RRC_CONNECTED mode. </w:t>
      </w:r>
      <w:r w:rsidR="007D7BD1">
        <w:rPr>
          <w:color w:val="000000"/>
          <w:sz w:val="20"/>
          <w:szCs w:val="20"/>
          <w:lang w:val="en-US"/>
        </w:rPr>
        <w:t xml:space="preserve">If UE is in the </w:t>
      </w:r>
      <w:r w:rsidR="003C1828">
        <w:rPr>
          <w:rFonts w:hint="eastAsia"/>
          <w:color w:val="000000"/>
          <w:sz w:val="20"/>
          <w:szCs w:val="20"/>
          <w:lang w:val="en-US"/>
        </w:rPr>
        <w:t>RRC</w:t>
      </w:r>
      <w:r w:rsidR="003C1828">
        <w:rPr>
          <w:color w:val="000000"/>
          <w:sz w:val="20"/>
          <w:szCs w:val="20"/>
          <w:lang w:val="en-US"/>
        </w:rPr>
        <w:t xml:space="preserve">_IDLE or </w:t>
      </w:r>
      <w:r w:rsidR="007D7BD1">
        <w:rPr>
          <w:color w:val="000000"/>
          <w:sz w:val="20"/>
          <w:szCs w:val="20"/>
          <w:lang w:val="en-US"/>
        </w:rPr>
        <w:t xml:space="preserve">RRC_INACTVIE state, </w:t>
      </w:r>
      <w:r w:rsidR="003C1828">
        <w:rPr>
          <w:color w:val="000000"/>
          <w:sz w:val="20"/>
          <w:szCs w:val="20"/>
          <w:lang w:val="en-US"/>
        </w:rPr>
        <w:t xml:space="preserve">initial DL BWP can be configured for UE to receive the system information and paging information. If the initial DL BWP is not configured, then UE would </w:t>
      </w:r>
      <w:r w:rsidR="007D7BD1">
        <w:rPr>
          <w:color w:val="000000"/>
          <w:sz w:val="20"/>
          <w:szCs w:val="20"/>
          <w:lang w:val="en-US"/>
        </w:rPr>
        <w:t>monitor the CORESET#0 and search space#0.</w:t>
      </w:r>
      <w:r w:rsidR="003C1828">
        <w:rPr>
          <w:color w:val="000000"/>
          <w:sz w:val="20"/>
          <w:szCs w:val="20"/>
          <w:lang w:val="en-US"/>
        </w:rPr>
        <w:t xml:space="preserve"> Thus, for RA-SDT, the small data can be transmitted on </w:t>
      </w:r>
      <w:r w:rsidR="003C1828">
        <w:rPr>
          <w:color w:val="000000"/>
          <w:sz w:val="20"/>
          <w:szCs w:val="20"/>
          <w:lang w:val="en-US"/>
        </w:rPr>
        <w:lastRenderedPageBreak/>
        <w:t xml:space="preserve">CORESET#0 as well.  However, the CORESET#0 could be over-crowed due </w:t>
      </w:r>
      <w:r w:rsidR="000975BD">
        <w:rPr>
          <w:color w:val="000000"/>
          <w:sz w:val="20"/>
          <w:szCs w:val="20"/>
          <w:lang w:val="en-US"/>
        </w:rPr>
        <w:t xml:space="preserve">to </w:t>
      </w:r>
      <w:r w:rsidR="003C1828">
        <w:rPr>
          <w:color w:val="000000"/>
          <w:sz w:val="20"/>
          <w:szCs w:val="20"/>
          <w:lang w:val="en-US"/>
        </w:rPr>
        <w:t xml:space="preserve">the broadcast system information transmission over </w:t>
      </w:r>
      <w:r w:rsidR="000F5A0D">
        <w:rPr>
          <w:rFonts w:hint="eastAsia"/>
          <w:color w:val="000000"/>
          <w:sz w:val="20"/>
          <w:szCs w:val="20"/>
          <w:lang w:val="en-US"/>
        </w:rPr>
        <w:t>it</w:t>
      </w:r>
      <w:r w:rsidR="003C1828">
        <w:rPr>
          <w:rFonts w:hint="eastAsia"/>
          <w:color w:val="000000"/>
          <w:sz w:val="20"/>
          <w:szCs w:val="20"/>
          <w:lang w:val="en-US"/>
        </w:rPr>
        <w:t>.</w:t>
      </w:r>
      <w:r w:rsidR="003C1828">
        <w:rPr>
          <w:color w:val="000000"/>
          <w:sz w:val="20"/>
          <w:szCs w:val="20"/>
          <w:lang w:val="en-US"/>
        </w:rPr>
        <w:t xml:space="preserve"> Small data transmission over initial DL BWP is another choice, the initial DL BWP would be configured with larger bandwidth th</w:t>
      </w:r>
      <w:r w:rsidR="000975BD">
        <w:rPr>
          <w:color w:val="000000"/>
          <w:sz w:val="20"/>
          <w:szCs w:val="20"/>
          <w:lang w:val="en-US"/>
        </w:rPr>
        <w:t>an</w:t>
      </w:r>
      <w:r w:rsidR="003C1828">
        <w:rPr>
          <w:color w:val="000000"/>
          <w:sz w:val="20"/>
          <w:szCs w:val="20"/>
          <w:lang w:val="en-US"/>
        </w:rPr>
        <w:t xml:space="preserve"> the CORESET#0</w:t>
      </w:r>
      <w:r w:rsidR="000975BD">
        <w:rPr>
          <w:color w:val="000000"/>
          <w:sz w:val="20"/>
          <w:szCs w:val="20"/>
          <w:lang w:val="en-US"/>
        </w:rPr>
        <w:t xml:space="preserve"> and contains the CORESET#0 in frequency domain</w:t>
      </w:r>
      <w:r w:rsidR="003C1828">
        <w:rPr>
          <w:color w:val="000000"/>
          <w:sz w:val="20"/>
          <w:szCs w:val="20"/>
          <w:lang w:val="en-US"/>
        </w:rPr>
        <w:t xml:space="preserve">, but initial </w:t>
      </w:r>
      <w:r w:rsidR="000975BD">
        <w:rPr>
          <w:color w:val="000000"/>
          <w:sz w:val="20"/>
          <w:szCs w:val="20"/>
          <w:lang w:val="en-US"/>
        </w:rPr>
        <w:t>DL BWP can only be applied after initial access.</w:t>
      </w:r>
    </w:p>
    <w:p w14:paraId="39EC782D" w14:textId="1FB691A8" w:rsidR="00E06D98" w:rsidRDefault="000975BD" w:rsidP="00512BF7">
      <w:pPr>
        <w:spacing w:before="120" w:after="120"/>
        <w:rPr>
          <w:color w:val="000000"/>
          <w:sz w:val="20"/>
          <w:szCs w:val="20"/>
          <w:lang w:val="en-US"/>
        </w:rPr>
      </w:pPr>
      <w:r>
        <w:rPr>
          <w:color w:val="000000"/>
          <w:sz w:val="20"/>
          <w:szCs w:val="20"/>
          <w:lang w:val="en-US"/>
        </w:rPr>
        <w:t xml:space="preserve">For small data transmission, it should allow the UE in </w:t>
      </w:r>
      <w:r w:rsidR="007911AF">
        <w:rPr>
          <w:color w:val="000000"/>
          <w:sz w:val="20"/>
          <w:szCs w:val="20"/>
          <w:lang w:val="en-US"/>
        </w:rPr>
        <w:t>RRC_</w:t>
      </w:r>
      <w:r>
        <w:rPr>
          <w:color w:val="000000"/>
          <w:sz w:val="20"/>
          <w:szCs w:val="20"/>
          <w:lang w:val="en-US"/>
        </w:rPr>
        <w:t xml:space="preserve">INACTVIE state to </w:t>
      </w:r>
      <w:r w:rsidR="0045326D">
        <w:rPr>
          <w:color w:val="000000"/>
          <w:sz w:val="20"/>
          <w:szCs w:val="20"/>
          <w:lang w:val="en-US"/>
        </w:rPr>
        <w:t>transmit and receive the dat</w:t>
      </w:r>
      <w:r>
        <w:rPr>
          <w:color w:val="000000"/>
          <w:sz w:val="20"/>
          <w:szCs w:val="20"/>
          <w:lang w:val="en-US"/>
        </w:rPr>
        <w:t>a</w:t>
      </w:r>
      <w:r w:rsidR="0045326D">
        <w:rPr>
          <w:color w:val="000000"/>
          <w:sz w:val="20"/>
          <w:szCs w:val="20"/>
          <w:lang w:val="en-US"/>
        </w:rPr>
        <w:t xml:space="preserve"> on</w:t>
      </w:r>
      <w:r>
        <w:rPr>
          <w:color w:val="000000"/>
          <w:sz w:val="20"/>
          <w:szCs w:val="20"/>
          <w:lang w:val="en-US"/>
        </w:rPr>
        <w:t xml:space="preserve"> the initial BWP</w:t>
      </w:r>
      <w:r w:rsidR="0045326D">
        <w:rPr>
          <w:color w:val="000000"/>
          <w:sz w:val="20"/>
          <w:szCs w:val="20"/>
          <w:lang w:val="en-US"/>
        </w:rPr>
        <w:t xml:space="preserve">. The CORESET#0 </w:t>
      </w:r>
      <w:r w:rsidR="00E06D98">
        <w:rPr>
          <w:color w:val="000000"/>
          <w:sz w:val="20"/>
          <w:szCs w:val="20"/>
          <w:lang w:val="en-US"/>
        </w:rPr>
        <w:t xml:space="preserve">or new CORESET configured on initial BWP </w:t>
      </w:r>
      <w:r w:rsidR="0045326D">
        <w:rPr>
          <w:color w:val="000000"/>
          <w:sz w:val="20"/>
          <w:szCs w:val="20"/>
          <w:lang w:val="en-US"/>
        </w:rPr>
        <w:t>could be used for PDCCH scheduling the SDT.</w:t>
      </w:r>
      <w:r w:rsidR="005424C8">
        <w:rPr>
          <w:color w:val="000000"/>
          <w:sz w:val="20"/>
          <w:szCs w:val="20"/>
          <w:lang w:val="en-US"/>
        </w:rPr>
        <w:t xml:space="preserve"> For the search space for SDT transmission, </w:t>
      </w:r>
      <w:r w:rsidR="00512BF7">
        <w:rPr>
          <w:color w:val="000000"/>
          <w:sz w:val="20"/>
          <w:szCs w:val="20"/>
          <w:lang w:val="en-US"/>
        </w:rPr>
        <w:t>USS set can be configured for SDT UE before it leaves the RRC_CONNECTED mode to RRC_INACTIVE mode.</w:t>
      </w:r>
    </w:p>
    <w:p w14:paraId="41616037" w14:textId="529672AA" w:rsidR="0045326D" w:rsidRPr="007D7BD1" w:rsidRDefault="0045326D" w:rsidP="0045326D">
      <w:pPr>
        <w:spacing w:before="120" w:after="120"/>
        <w:rPr>
          <w:b/>
          <w:bCs/>
          <w:color w:val="000000"/>
          <w:sz w:val="20"/>
          <w:szCs w:val="20"/>
          <w:lang w:val="en-US"/>
        </w:rPr>
      </w:pPr>
      <w:r w:rsidRPr="00D522E5">
        <w:rPr>
          <w:b/>
          <w:bCs/>
          <w:color w:val="000000"/>
          <w:sz w:val="20"/>
          <w:szCs w:val="20"/>
          <w:lang w:val="en-US"/>
        </w:rPr>
        <w:t xml:space="preserve">Proposal </w:t>
      </w:r>
      <w:r>
        <w:rPr>
          <w:b/>
          <w:bCs/>
          <w:color w:val="000000"/>
          <w:sz w:val="20"/>
          <w:szCs w:val="20"/>
          <w:lang w:val="en-US"/>
        </w:rPr>
        <w:t>1</w:t>
      </w:r>
      <w:r w:rsidRPr="00D522E5">
        <w:rPr>
          <w:b/>
          <w:bCs/>
          <w:color w:val="000000"/>
          <w:sz w:val="20"/>
          <w:szCs w:val="20"/>
          <w:lang w:val="en-US"/>
        </w:rPr>
        <w:t>:</w:t>
      </w:r>
      <w:r>
        <w:rPr>
          <w:color w:val="000000"/>
          <w:sz w:val="20"/>
          <w:szCs w:val="20"/>
          <w:lang w:val="en-US"/>
        </w:rPr>
        <w:t xml:space="preserve"> </w:t>
      </w:r>
      <w:r w:rsidRPr="007D7BD1">
        <w:rPr>
          <w:b/>
          <w:bCs/>
          <w:color w:val="000000"/>
          <w:sz w:val="20"/>
          <w:szCs w:val="20"/>
          <w:lang w:val="en-US"/>
        </w:rPr>
        <w:t xml:space="preserve">For RA-SDT, the initial BWP is applied for UL and DL data transmission, </w:t>
      </w:r>
      <w:r w:rsidR="00E06D98">
        <w:rPr>
          <w:b/>
          <w:bCs/>
          <w:color w:val="000000"/>
          <w:sz w:val="20"/>
          <w:szCs w:val="20"/>
          <w:lang w:val="en-US"/>
        </w:rPr>
        <w:t xml:space="preserve">USS </w:t>
      </w:r>
      <w:r w:rsidRPr="007D7BD1">
        <w:rPr>
          <w:b/>
          <w:bCs/>
          <w:color w:val="000000"/>
          <w:sz w:val="20"/>
          <w:szCs w:val="20"/>
          <w:lang w:val="en-US"/>
        </w:rPr>
        <w:t xml:space="preserve">set is configured for SDT transmission. </w:t>
      </w:r>
    </w:p>
    <w:p w14:paraId="3B452DA7" w14:textId="6F5A3901" w:rsidR="000170A0" w:rsidRPr="004072F8" w:rsidRDefault="009D7609" w:rsidP="000C074D">
      <w:pPr>
        <w:spacing w:before="120" w:after="120"/>
        <w:rPr>
          <w:color w:val="000000"/>
          <w:sz w:val="20"/>
          <w:szCs w:val="20"/>
          <w:lang w:val="en-US"/>
        </w:rPr>
      </w:pPr>
      <w:r>
        <w:rPr>
          <w:color w:val="000000"/>
          <w:sz w:val="20"/>
          <w:szCs w:val="20"/>
          <w:lang w:val="en-US"/>
        </w:rPr>
        <w:t xml:space="preserve">For CG-SDT, </w:t>
      </w:r>
      <w:r w:rsidR="00562FBD">
        <w:rPr>
          <w:color w:val="000000"/>
          <w:sz w:val="20"/>
          <w:szCs w:val="20"/>
          <w:lang w:val="en-US"/>
        </w:rPr>
        <w:t xml:space="preserve">RAN2 asks for the association between CG resources and SSBs. </w:t>
      </w:r>
      <w:r w:rsidR="009527EC">
        <w:rPr>
          <w:color w:val="000000"/>
          <w:sz w:val="20"/>
          <w:szCs w:val="20"/>
          <w:lang w:val="en-US"/>
        </w:rPr>
        <w:t xml:space="preserve">In Rel.16 WI two step RACH, the </w:t>
      </w:r>
      <w:proofErr w:type="spellStart"/>
      <w:r w:rsidR="009527EC">
        <w:rPr>
          <w:color w:val="000000"/>
          <w:sz w:val="20"/>
          <w:szCs w:val="20"/>
          <w:lang w:val="en-US"/>
        </w:rPr>
        <w:t>MsgA</w:t>
      </w:r>
      <w:proofErr w:type="spellEnd"/>
      <w:r w:rsidR="009527EC">
        <w:rPr>
          <w:color w:val="000000"/>
          <w:sz w:val="20"/>
          <w:szCs w:val="20"/>
          <w:lang w:val="en-US"/>
        </w:rPr>
        <w:t xml:space="preserve"> </w:t>
      </w:r>
      <w:r w:rsidR="000F5A0D">
        <w:rPr>
          <w:color w:val="000000"/>
          <w:sz w:val="20"/>
          <w:szCs w:val="20"/>
          <w:lang w:val="en-US"/>
        </w:rPr>
        <w:t>wa</w:t>
      </w:r>
      <w:r w:rsidR="009527EC">
        <w:rPr>
          <w:color w:val="000000"/>
          <w:sz w:val="20"/>
          <w:szCs w:val="20"/>
          <w:lang w:val="en-US"/>
        </w:rPr>
        <w:t xml:space="preserve">s defined </w:t>
      </w:r>
      <w:r w:rsidR="009852E3">
        <w:rPr>
          <w:color w:val="000000"/>
          <w:sz w:val="20"/>
          <w:szCs w:val="20"/>
          <w:lang w:val="en-US"/>
        </w:rPr>
        <w:t xml:space="preserve">to transmit the small data to the </w:t>
      </w:r>
      <w:proofErr w:type="spellStart"/>
      <w:r w:rsidR="009852E3">
        <w:rPr>
          <w:color w:val="000000"/>
          <w:sz w:val="20"/>
          <w:szCs w:val="20"/>
          <w:lang w:val="en-US"/>
        </w:rPr>
        <w:t>gNB</w:t>
      </w:r>
      <w:proofErr w:type="spellEnd"/>
      <w:r w:rsidR="000F5A0D">
        <w:rPr>
          <w:color w:val="000000"/>
          <w:sz w:val="20"/>
          <w:szCs w:val="20"/>
          <w:lang w:val="en-US"/>
        </w:rPr>
        <w:t xml:space="preserve"> during the RACH process</w:t>
      </w:r>
      <w:r w:rsidR="009852E3">
        <w:rPr>
          <w:color w:val="000000"/>
          <w:sz w:val="20"/>
          <w:szCs w:val="20"/>
          <w:lang w:val="en-US"/>
        </w:rPr>
        <w:t xml:space="preserve">, which include the </w:t>
      </w:r>
      <w:proofErr w:type="spellStart"/>
      <w:r w:rsidR="009852E3">
        <w:rPr>
          <w:color w:val="000000"/>
          <w:sz w:val="20"/>
          <w:szCs w:val="20"/>
          <w:lang w:val="en-US"/>
        </w:rPr>
        <w:t>MsgA</w:t>
      </w:r>
      <w:proofErr w:type="spellEnd"/>
      <w:r w:rsidR="009852E3">
        <w:rPr>
          <w:color w:val="000000"/>
          <w:sz w:val="20"/>
          <w:szCs w:val="20"/>
          <w:lang w:val="en-US"/>
        </w:rPr>
        <w:t xml:space="preserve"> preamble and </w:t>
      </w:r>
      <w:proofErr w:type="spellStart"/>
      <w:r w:rsidR="009852E3">
        <w:rPr>
          <w:color w:val="000000"/>
          <w:sz w:val="20"/>
          <w:szCs w:val="20"/>
          <w:lang w:val="en-US"/>
        </w:rPr>
        <w:t>MsgA</w:t>
      </w:r>
      <w:proofErr w:type="spellEnd"/>
      <w:r w:rsidR="009852E3">
        <w:rPr>
          <w:color w:val="000000"/>
          <w:sz w:val="20"/>
          <w:szCs w:val="20"/>
          <w:lang w:val="en-US"/>
        </w:rPr>
        <w:t xml:space="preserve"> PUSCH. The association between RO and SSB was already </w:t>
      </w:r>
      <w:r w:rsidR="000F5A0D">
        <w:rPr>
          <w:color w:val="000000"/>
          <w:sz w:val="20"/>
          <w:szCs w:val="20"/>
          <w:lang w:val="en-US"/>
        </w:rPr>
        <w:t>specifi</w:t>
      </w:r>
      <w:r w:rsidR="009852E3">
        <w:rPr>
          <w:color w:val="000000"/>
          <w:sz w:val="20"/>
          <w:szCs w:val="20"/>
          <w:lang w:val="en-US"/>
        </w:rPr>
        <w:t xml:space="preserve">ed in Rel.15, thus the </w:t>
      </w:r>
      <w:proofErr w:type="spellStart"/>
      <w:r w:rsidR="009852E3">
        <w:rPr>
          <w:color w:val="000000"/>
          <w:sz w:val="20"/>
          <w:szCs w:val="20"/>
          <w:lang w:val="en-US"/>
        </w:rPr>
        <w:t>MsgA</w:t>
      </w:r>
      <w:proofErr w:type="spellEnd"/>
      <w:r w:rsidR="009852E3">
        <w:rPr>
          <w:color w:val="000000"/>
          <w:sz w:val="20"/>
          <w:szCs w:val="20"/>
          <w:lang w:val="en-US"/>
        </w:rPr>
        <w:t xml:space="preserve"> PUSCH is implicitly associated with SSB via the </w:t>
      </w:r>
      <w:proofErr w:type="spellStart"/>
      <w:r w:rsidR="009852E3">
        <w:rPr>
          <w:color w:val="000000"/>
          <w:sz w:val="20"/>
          <w:szCs w:val="20"/>
          <w:lang w:val="en-US"/>
        </w:rPr>
        <w:t>MsgA</w:t>
      </w:r>
      <w:proofErr w:type="spellEnd"/>
      <w:r w:rsidR="009852E3">
        <w:rPr>
          <w:color w:val="000000"/>
          <w:sz w:val="20"/>
          <w:szCs w:val="20"/>
          <w:lang w:val="en-US"/>
        </w:rPr>
        <w:t xml:space="preserve"> preamble. For SDT, the similar mechanism defined for </w:t>
      </w:r>
      <w:proofErr w:type="spellStart"/>
      <w:r w:rsidR="009852E3">
        <w:rPr>
          <w:color w:val="000000"/>
          <w:sz w:val="20"/>
          <w:szCs w:val="20"/>
          <w:lang w:val="en-US"/>
        </w:rPr>
        <w:t>MsgA</w:t>
      </w:r>
      <w:proofErr w:type="spellEnd"/>
      <w:r w:rsidR="009852E3">
        <w:rPr>
          <w:color w:val="000000"/>
          <w:sz w:val="20"/>
          <w:szCs w:val="20"/>
          <w:lang w:val="en-US"/>
        </w:rPr>
        <w:t xml:space="preserve"> could be re-used but without preamble transmission, </w:t>
      </w:r>
      <w:r w:rsidR="000F5A0D">
        <w:rPr>
          <w:color w:val="000000"/>
          <w:sz w:val="20"/>
          <w:szCs w:val="20"/>
          <w:lang w:val="en-US"/>
        </w:rPr>
        <w:t xml:space="preserve">some of the </w:t>
      </w:r>
      <w:proofErr w:type="spellStart"/>
      <w:r w:rsidR="000F5A0D">
        <w:rPr>
          <w:color w:val="000000"/>
          <w:sz w:val="20"/>
          <w:szCs w:val="20"/>
          <w:lang w:val="en-US"/>
        </w:rPr>
        <w:t>MsgA</w:t>
      </w:r>
      <w:proofErr w:type="spellEnd"/>
      <w:r w:rsidR="000F5A0D">
        <w:rPr>
          <w:color w:val="000000"/>
          <w:sz w:val="20"/>
          <w:szCs w:val="20"/>
          <w:lang w:val="en-US"/>
        </w:rPr>
        <w:t xml:space="preserve"> PUSCH configurations could be adopted to</w:t>
      </w:r>
      <w:r w:rsidR="009852E3">
        <w:rPr>
          <w:color w:val="000000"/>
          <w:sz w:val="20"/>
          <w:szCs w:val="20"/>
          <w:lang w:val="en-US"/>
        </w:rPr>
        <w:t xml:space="preserve"> CG resources</w:t>
      </w:r>
      <w:r w:rsidR="000F5A0D">
        <w:rPr>
          <w:color w:val="000000"/>
          <w:sz w:val="20"/>
          <w:szCs w:val="20"/>
          <w:lang w:val="en-US"/>
        </w:rPr>
        <w:t xml:space="preserve"> configuration </w:t>
      </w:r>
      <w:r w:rsidR="00F4039A">
        <w:rPr>
          <w:color w:val="000000"/>
          <w:sz w:val="20"/>
          <w:szCs w:val="20"/>
          <w:lang w:val="en-US"/>
        </w:rPr>
        <w:t>to implement the association with SSB</w:t>
      </w:r>
      <w:r w:rsidR="009852E3">
        <w:rPr>
          <w:color w:val="000000"/>
          <w:sz w:val="20"/>
          <w:szCs w:val="20"/>
          <w:lang w:val="en-US"/>
        </w:rPr>
        <w:t>, such as the</w:t>
      </w:r>
      <w:r w:rsidR="00F4039A">
        <w:rPr>
          <w:color w:val="000000"/>
          <w:sz w:val="20"/>
          <w:szCs w:val="20"/>
          <w:lang w:val="en-US"/>
        </w:rPr>
        <w:t xml:space="preserve"> PO</w:t>
      </w:r>
      <w:r w:rsidR="009852E3">
        <w:rPr>
          <w:color w:val="000000"/>
          <w:sz w:val="20"/>
          <w:szCs w:val="20"/>
          <w:lang w:val="en-US"/>
        </w:rPr>
        <w:t xml:space="preserve"> periodicity, the time offset from PRACH slot, number of slot containing the PO, number of the POs in each slot, etc.</w:t>
      </w:r>
    </w:p>
    <w:p w14:paraId="5427CF11" w14:textId="07303DBF" w:rsidR="00834936" w:rsidRPr="009E7222" w:rsidRDefault="007D7BD1" w:rsidP="00834936">
      <w:pPr>
        <w:spacing w:before="120" w:after="120"/>
        <w:rPr>
          <w:b/>
          <w:bCs/>
          <w:color w:val="000000"/>
          <w:sz w:val="20"/>
          <w:szCs w:val="20"/>
          <w:lang w:val="en-US"/>
        </w:rPr>
      </w:pPr>
      <w:r w:rsidRPr="00D522E5">
        <w:rPr>
          <w:b/>
          <w:bCs/>
          <w:color w:val="000000"/>
          <w:sz w:val="20"/>
          <w:szCs w:val="20"/>
          <w:lang w:val="en-US"/>
        </w:rPr>
        <w:t>Proposal 2</w:t>
      </w:r>
      <w:r>
        <w:rPr>
          <w:b/>
          <w:bCs/>
          <w:color w:val="000000"/>
          <w:sz w:val="20"/>
          <w:szCs w:val="20"/>
          <w:lang w:val="en-US"/>
        </w:rPr>
        <w:t xml:space="preserve">: </w:t>
      </w:r>
      <w:r w:rsidRPr="007D7BD1">
        <w:rPr>
          <w:b/>
          <w:bCs/>
          <w:color w:val="000000"/>
          <w:sz w:val="20"/>
          <w:szCs w:val="20"/>
          <w:lang w:val="en-US"/>
        </w:rPr>
        <w:t xml:space="preserve">The mechanism of </w:t>
      </w:r>
      <w:proofErr w:type="spellStart"/>
      <w:r w:rsidRPr="007D7BD1">
        <w:rPr>
          <w:b/>
          <w:bCs/>
          <w:color w:val="000000"/>
          <w:sz w:val="20"/>
          <w:szCs w:val="20"/>
          <w:lang w:val="en-US"/>
        </w:rPr>
        <w:t>MsgA</w:t>
      </w:r>
      <w:proofErr w:type="spellEnd"/>
      <w:r w:rsidRPr="007D7BD1">
        <w:rPr>
          <w:b/>
          <w:bCs/>
          <w:color w:val="000000"/>
          <w:sz w:val="20"/>
          <w:szCs w:val="20"/>
          <w:lang w:val="en-US"/>
        </w:rPr>
        <w:t xml:space="preserve"> PUSCH association with SSB is re-used for association between the type 1 CG resource(s) for CG-SDT and SSB(s).  </w:t>
      </w:r>
    </w:p>
    <w:p w14:paraId="1DE6452F" w14:textId="77777777" w:rsidR="00D12367" w:rsidRDefault="00D12367" w:rsidP="00D12367">
      <w:pPr>
        <w:pStyle w:val="Heading1"/>
      </w:pPr>
      <w:r>
        <w:t>Summary</w:t>
      </w:r>
    </w:p>
    <w:p w14:paraId="25F8D0AD" w14:textId="5F10957D"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9E7222">
        <w:rPr>
          <w:rFonts w:eastAsia="MS Mincho"/>
          <w:sz w:val="20"/>
          <w:szCs w:val="20"/>
          <w:lang w:val="en-US" w:eastAsia="ja-JP"/>
        </w:rPr>
        <w:t>small data transmission impacts on physical layer aspects and the issues raised by RAN2</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254B67B9" w14:textId="77777777" w:rsidR="00E35BD7" w:rsidRPr="007D7BD1" w:rsidRDefault="00E35BD7" w:rsidP="00E35BD7">
      <w:pPr>
        <w:spacing w:before="120" w:after="120"/>
        <w:rPr>
          <w:b/>
          <w:bCs/>
          <w:color w:val="000000"/>
          <w:sz w:val="20"/>
          <w:szCs w:val="20"/>
          <w:lang w:val="en-US"/>
        </w:rPr>
      </w:pPr>
      <w:r w:rsidRPr="00D522E5">
        <w:rPr>
          <w:b/>
          <w:bCs/>
          <w:color w:val="000000"/>
          <w:sz w:val="20"/>
          <w:szCs w:val="20"/>
          <w:lang w:val="en-US"/>
        </w:rPr>
        <w:t xml:space="preserve">Proposal </w:t>
      </w:r>
      <w:r>
        <w:rPr>
          <w:b/>
          <w:bCs/>
          <w:color w:val="000000"/>
          <w:sz w:val="20"/>
          <w:szCs w:val="20"/>
          <w:lang w:val="en-US"/>
        </w:rPr>
        <w:t>1</w:t>
      </w:r>
      <w:r w:rsidRPr="00D522E5">
        <w:rPr>
          <w:b/>
          <w:bCs/>
          <w:color w:val="000000"/>
          <w:sz w:val="20"/>
          <w:szCs w:val="20"/>
          <w:lang w:val="en-US"/>
        </w:rPr>
        <w:t>:</w:t>
      </w:r>
      <w:r>
        <w:rPr>
          <w:color w:val="000000"/>
          <w:sz w:val="20"/>
          <w:szCs w:val="20"/>
          <w:lang w:val="en-US"/>
        </w:rPr>
        <w:t xml:space="preserve"> </w:t>
      </w:r>
      <w:r w:rsidRPr="007D7BD1">
        <w:rPr>
          <w:b/>
          <w:bCs/>
          <w:color w:val="000000"/>
          <w:sz w:val="20"/>
          <w:szCs w:val="20"/>
          <w:lang w:val="en-US"/>
        </w:rPr>
        <w:t xml:space="preserve">For RA-SDT, the initial BWP is applied for UL and DL data transmission, </w:t>
      </w:r>
      <w:r>
        <w:rPr>
          <w:b/>
          <w:bCs/>
          <w:color w:val="000000"/>
          <w:sz w:val="20"/>
          <w:szCs w:val="20"/>
          <w:lang w:val="en-US"/>
        </w:rPr>
        <w:t xml:space="preserve">USS </w:t>
      </w:r>
      <w:r w:rsidRPr="007D7BD1">
        <w:rPr>
          <w:b/>
          <w:bCs/>
          <w:color w:val="000000"/>
          <w:sz w:val="20"/>
          <w:szCs w:val="20"/>
          <w:lang w:val="en-US"/>
        </w:rPr>
        <w:t xml:space="preserve">set is configured for SDT transmission. </w:t>
      </w:r>
    </w:p>
    <w:p w14:paraId="5C64F03B" w14:textId="77777777" w:rsidR="009E7222" w:rsidRPr="00834936" w:rsidRDefault="009E7222" w:rsidP="009E7222">
      <w:pPr>
        <w:spacing w:before="120" w:after="120"/>
        <w:rPr>
          <w:b/>
          <w:bCs/>
          <w:color w:val="000000"/>
          <w:sz w:val="20"/>
          <w:szCs w:val="20"/>
          <w:lang w:val="en-US"/>
        </w:rPr>
      </w:pPr>
      <w:r w:rsidRPr="00D522E5">
        <w:rPr>
          <w:b/>
          <w:bCs/>
          <w:color w:val="000000"/>
          <w:sz w:val="20"/>
          <w:szCs w:val="20"/>
          <w:lang w:val="en-US"/>
        </w:rPr>
        <w:t>Proposal 2</w:t>
      </w:r>
      <w:r>
        <w:rPr>
          <w:b/>
          <w:bCs/>
          <w:color w:val="000000"/>
          <w:sz w:val="20"/>
          <w:szCs w:val="20"/>
          <w:lang w:val="en-US"/>
        </w:rPr>
        <w:t xml:space="preserve">: </w:t>
      </w:r>
      <w:r w:rsidRPr="007D7BD1">
        <w:rPr>
          <w:b/>
          <w:bCs/>
          <w:color w:val="000000"/>
          <w:sz w:val="20"/>
          <w:szCs w:val="20"/>
          <w:lang w:val="en-US"/>
        </w:rPr>
        <w:t xml:space="preserve">The mechanism of </w:t>
      </w:r>
      <w:proofErr w:type="spellStart"/>
      <w:r w:rsidRPr="007D7BD1">
        <w:rPr>
          <w:b/>
          <w:bCs/>
          <w:color w:val="000000"/>
          <w:sz w:val="20"/>
          <w:szCs w:val="20"/>
          <w:lang w:val="en-US"/>
        </w:rPr>
        <w:t>MsgA</w:t>
      </w:r>
      <w:proofErr w:type="spellEnd"/>
      <w:r w:rsidRPr="007D7BD1">
        <w:rPr>
          <w:b/>
          <w:bCs/>
          <w:color w:val="000000"/>
          <w:sz w:val="20"/>
          <w:szCs w:val="20"/>
          <w:lang w:val="en-US"/>
        </w:rPr>
        <w:t xml:space="preserve"> PUSCH association with SSB is re-used for association between the type 1 CG resource(s) for CG-SDT and SSB(s).  </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3B2BD307" w:rsidR="000170A0" w:rsidRPr="00090F28" w:rsidRDefault="00446BF5" w:rsidP="000170A0">
      <w:pPr>
        <w:widowControl w:val="0"/>
        <w:numPr>
          <w:ilvl w:val="0"/>
          <w:numId w:val="5"/>
        </w:numPr>
        <w:jc w:val="both"/>
        <w:rPr>
          <w:sz w:val="20"/>
          <w:szCs w:val="20"/>
        </w:rPr>
      </w:pPr>
      <w:r w:rsidRPr="00446BF5">
        <w:rPr>
          <w:sz w:val="20"/>
          <w:szCs w:val="20"/>
          <w:lang w:val="en-GB"/>
        </w:rPr>
        <w:t>R1-2100025</w:t>
      </w:r>
      <w:r w:rsidR="00120E8E" w:rsidRPr="007049A6">
        <w:rPr>
          <w:sz w:val="20"/>
          <w:szCs w:val="20"/>
        </w:rPr>
        <w:t>, “</w:t>
      </w:r>
      <w:r w:rsidR="001675F6" w:rsidRPr="001675F6">
        <w:rPr>
          <w:sz w:val="20"/>
          <w:szCs w:val="20"/>
          <w:lang w:val="en-GB"/>
        </w:rPr>
        <w:t>L</w:t>
      </w:r>
      <w:r w:rsidR="001675F6" w:rsidRPr="001675F6">
        <w:rPr>
          <w:bCs/>
          <w:sz w:val="20"/>
          <w:szCs w:val="20"/>
          <w:lang w:val="en-GB"/>
        </w:rPr>
        <w:t>S on physical layer aspects of small data transmission</w:t>
      </w:r>
      <w:r w:rsidR="00120E8E" w:rsidRPr="007049A6">
        <w:rPr>
          <w:sz w:val="20"/>
          <w:szCs w:val="20"/>
        </w:rPr>
        <w:t xml:space="preserve">”, </w:t>
      </w:r>
      <w:r w:rsidR="001675F6">
        <w:rPr>
          <w:sz w:val="20"/>
          <w:szCs w:val="20"/>
          <w:lang w:val="en-US"/>
        </w:rPr>
        <w:t>RAN2</w:t>
      </w:r>
      <w:r>
        <w:rPr>
          <w:sz w:val="20"/>
          <w:szCs w:val="20"/>
          <w:lang w:val="en-US"/>
        </w:rPr>
        <w:t>, ZTE</w:t>
      </w:r>
    </w:p>
    <w:p w14:paraId="3FAA5123" w14:textId="77777777" w:rsidR="00090F28" w:rsidRDefault="00090F28" w:rsidP="00090F28">
      <w:pPr>
        <w:widowControl w:val="0"/>
        <w:ind w:left="420"/>
        <w:jc w:val="both"/>
        <w:rPr>
          <w:sz w:val="20"/>
          <w:szCs w:val="20"/>
        </w:rPr>
      </w:pPr>
    </w:p>
    <w:bookmarkEnd w:id="2"/>
    <w:bookmarkEnd w:id="3"/>
    <w:p w14:paraId="6697AF52" w14:textId="77777777" w:rsidR="00512BF7" w:rsidRPr="00D05AEE" w:rsidRDefault="00512BF7" w:rsidP="00D05AEE">
      <w:pPr>
        <w:spacing w:before="120" w:after="120"/>
        <w:rPr>
          <w:color w:val="000000"/>
          <w:sz w:val="20"/>
          <w:szCs w:val="20"/>
          <w:lang w:val="en-US"/>
        </w:rPr>
      </w:pPr>
    </w:p>
    <w:sectPr w:rsidR="00512BF7" w:rsidRPr="00D05AEE"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ADCE4" w14:textId="77777777" w:rsidR="00DA1C89" w:rsidRDefault="00DA1C89">
      <w:r>
        <w:separator/>
      </w:r>
    </w:p>
  </w:endnote>
  <w:endnote w:type="continuationSeparator" w:id="0">
    <w:p w14:paraId="0B743B50" w14:textId="77777777" w:rsidR="00DA1C89" w:rsidRDefault="00DA1C89">
      <w:r>
        <w:continuationSeparator/>
      </w:r>
    </w:p>
  </w:endnote>
  <w:endnote w:type="continuationNotice" w:id="1">
    <w:p w14:paraId="72974572" w14:textId="77777777" w:rsidR="00DA1C89" w:rsidRDefault="00DA1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A188D" w14:textId="77777777" w:rsidR="00DA1C89" w:rsidRDefault="00DA1C89">
      <w:r>
        <w:separator/>
      </w:r>
    </w:p>
  </w:footnote>
  <w:footnote w:type="continuationSeparator" w:id="0">
    <w:p w14:paraId="3E155241" w14:textId="77777777" w:rsidR="00DA1C89" w:rsidRDefault="00DA1C89">
      <w:r>
        <w:continuationSeparator/>
      </w:r>
    </w:p>
  </w:footnote>
  <w:footnote w:type="continuationNotice" w:id="1">
    <w:p w14:paraId="78746041" w14:textId="77777777" w:rsidR="00DA1C89" w:rsidRDefault="00DA1C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7"/>
  </w:num>
  <w:num w:numId="2">
    <w:abstractNumId w:val="6"/>
  </w:num>
  <w:num w:numId="3">
    <w:abstractNumId w:val="8"/>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1"/>
  </w:num>
  <w:num w:numId="8">
    <w:abstractNumId w:val="9"/>
  </w:num>
  <w:num w:numId="9">
    <w:abstractNumId w:val="5"/>
  </w:num>
  <w:num w:numId="10">
    <w:abstractNumId w:val="10"/>
  </w:num>
  <w:num w:numId="11">
    <w:abstractNumId w:val="0"/>
  </w:num>
  <w:num w:numId="12">
    <w:abstractNumId w:val="1"/>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0B5D"/>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EE"/>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1F2"/>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BF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17"/>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88"/>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0F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C89"/>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6D98"/>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67C"/>
    <w:rsid w:val="00E35BD7"/>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4153</TotalTime>
  <Pages>2</Pages>
  <Words>760</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416</cp:revision>
  <cp:lastPrinted>2019-08-16T17:50:00Z</cp:lastPrinted>
  <dcterms:created xsi:type="dcterms:W3CDTF">2018-09-02T16:33:00Z</dcterms:created>
  <dcterms:modified xsi:type="dcterms:W3CDTF">2021-01-17T07:27:00Z</dcterms:modified>
  <cp:category/>
</cp:coreProperties>
</file>